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华文中宋" w:hAnsi="Times New Roman"/>
          <w:color w:val="ff0000"/>
          <w:sz w:val="58"/>
          <w:szCs w:val="58"/>
        </w:rPr>
      </w:pPr>
      <w:r>
        <w:rPr>
          <w:rFonts w:ascii="Times New Roman" w:cs="Times New Roman" w:eastAsia="华文中宋" w:hAnsi="Times New Roman"/>
          <w:noProof/>
          <w:sz w:val="21"/>
          <w:szCs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19050</wp:posOffset>
                </wp:positionH>
                <wp:positionV relativeFrom="margin">
                  <wp:posOffset>1096009</wp:posOffset>
                </wp:positionV>
                <wp:extent cx="5579745" cy="0"/>
                <wp:effectExtent l="0" t="19050" r="1905" b="0"/>
                <wp:wrapNone/>
                <wp:docPr id="1026" name="直接连接符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9745" cy="0"/>
                        </a:xfrm>
                        <a:prstGeom prst="line"/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1.5pt,86.29993pt" to="440.84998pt,86.29993pt" style="position:absolute;z-index:2;mso-position-horizontal-relative:margin;mso-position-vertical-relative:margin;mso-width-percent:0;mso-height-percent:0;mso-width-relative:margin;mso-height-relative:page;mso-wrap-distance-left:0.0pt;mso-wrap-distance-right:0.0pt;visibility:visible;">
                <v:stroke joinstyle="miter" color="red" weight="2.25pt"/>
                <v:fill/>
              </v:line>
            </w:pict>
          </mc:Fallback>
        </mc:AlternateContent>
      </w:r>
      <w:r>
        <w:rPr>
          <w:rFonts w:ascii="Times New Roman" w:cs="Times New Roman" w:eastAsia="方正小标宋简体" w:hAnsi="Times New Roman"/>
          <w:color w:val="ff0000"/>
          <w:spacing w:val="11"/>
          <w:w w:val="63"/>
          <w:sz w:val="90"/>
          <w:szCs w:val="90"/>
        </w:rPr>
        <w:t>中共盐城师范学院委员会组织部</w:t>
      </w:r>
    </w:p>
    <w:p>
      <w:pPr>
        <w:pStyle w:val="style0"/>
        <w:rPr>
          <w:rFonts w:ascii="Times New Roman" w:cs="Times New Roman" w:hAnsi="Times New Roman"/>
          <w:sz w:val="21"/>
          <w:szCs w:val="21"/>
        </w:rPr>
      </w:pPr>
    </w:p>
    <w:p>
      <w:pPr>
        <w:pStyle w:val="style0"/>
        <w:jc w:val="center"/>
        <w:rPr>
          <w:rFonts w:ascii="Times New Roman" w:cs="Times New Roman" w:eastAsia="方正小标宋简体" w:hAnsi="Times New Roman"/>
          <w:sz w:val="36"/>
          <w:szCs w:val="36"/>
        </w:rPr>
      </w:pPr>
      <w:r>
        <w:rPr>
          <w:rFonts w:ascii="Times New Roman" w:cs="Times New Roman" w:eastAsia="方正小标宋简体" w:hAnsi="Times New Roman"/>
          <w:sz w:val="36"/>
          <w:szCs w:val="36"/>
        </w:rPr>
        <w:t>关于</w:t>
      </w:r>
      <w:r>
        <w:rPr>
          <w:rFonts w:ascii="Times New Roman" w:cs="Times New Roman" w:eastAsia="方正小标宋简体" w:hAnsi="Times New Roman"/>
          <w:sz w:val="36"/>
          <w:szCs w:val="36"/>
        </w:rPr>
        <w:t>202</w:t>
      </w:r>
      <w:r>
        <w:rPr>
          <w:rFonts w:ascii="Times New Roman" w:cs="Times New Roman" w:eastAsia="方正小标宋简体" w:hAnsi="Times New Roman"/>
          <w:sz w:val="36"/>
          <w:szCs w:val="36"/>
        </w:rPr>
        <w:t>2</w:t>
      </w:r>
      <w:r>
        <w:rPr>
          <w:rFonts w:ascii="Times New Roman" w:cs="Times New Roman" w:eastAsia="方正小标宋简体" w:hAnsi="Times New Roman"/>
          <w:sz w:val="36"/>
          <w:szCs w:val="36"/>
        </w:rPr>
        <w:t>年</w:t>
      </w:r>
      <w:r>
        <w:rPr>
          <w:rFonts w:ascii="Times New Roman" w:cs="Times New Roman" w:eastAsia="方正小标宋简体" w:hAnsi="Times New Roman"/>
          <w:sz w:val="36"/>
          <w:szCs w:val="36"/>
        </w:rPr>
        <w:t>1</w:t>
      </w:r>
      <w:r>
        <w:rPr>
          <w:rFonts w:ascii="Times New Roman" w:cs="Times New Roman" w:eastAsia="方正小标宋简体" w:hAnsi="Times New Roman"/>
          <w:sz w:val="36"/>
          <w:szCs w:val="36"/>
        </w:rPr>
        <w:t>2</w:t>
      </w:r>
      <w:r>
        <w:rPr>
          <w:rFonts w:ascii="Times New Roman" w:cs="Times New Roman" w:eastAsia="方正小标宋简体" w:hAnsi="Times New Roman"/>
          <w:sz w:val="36"/>
          <w:szCs w:val="36"/>
        </w:rPr>
        <w:t>月全校党支部主题党日活动</w:t>
      </w:r>
      <w:r>
        <w:rPr>
          <w:rFonts w:ascii="Times New Roman" w:cs="Times New Roman" w:eastAsia="方正小标宋简体" w:hAnsi="Times New Roman"/>
          <w:sz w:val="36"/>
          <w:szCs w:val="36"/>
        </w:rPr>
        <w:t>的</w:t>
      </w:r>
      <w:r>
        <w:rPr>
          <w:rFonts w:ascii="Times New Roman" w:cs="Times New Roman" w:eastAsia="方正小标宋简体" w:hAnsi="Times New Roman"/>
          <w:sz w:val="36"/>
          <w:szCs w:val="36"/>
        </w:rPr>
        <w:t>有关要求</w:t>
      </w:r>
    </w:p>
    <w:p>
      <w:pPr>
        <w:pStyle w:val="style0"/>
        <w:spacing w:lineRule="exact" w:line="520"/>
        <w:rPr>
          <w:rFonts w:ascii="Times New Roman" w:cs="Times New Roman" w:eastAsia="仿宋" w:hAnsi="Times New Roman"/>
          <w:color w:val="000000"/>
          <w:kern w:val="0"/>
          <w:szCs w:val="32"/>
        </w:rPr>
      </w:pPr>
    </w:p>
    <w:p>
      <w:pPr>
        <w:pStyle w:val="style0"/>
        <w:spacing w:lineRule="exact" w:line="520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各党委（党总支）：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根据盐城市委组织部《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202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年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月全市基层党组织统一活动日活动有关要求》精神，结合我校实际，现将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20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年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月全校党支部主题党日活动有关要求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通知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如下。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黑体" w:hAnsi="Times New Roman"/>
          <w:color w:val="000000"/>
          <w:kern w:val="0"/>
          <w:szCs w:val="32"/>
        </w:rPr>
      </w:pPr>
      <w:r>
        <w:rPr>
          <w:rFonts w:ascii="Times New Roman" w:cs="Times New Roman" w:eastAsia="黑体" w:hAnsi="Times New Roman"/>
          <w:color w:val="000000"/>
          <w:kern w:val="0"/>
          <w:szCs w:val="32"/>
        </w:rPr>
        <w:t>一、活动时间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202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年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底前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黑体" w:hAnsi="Times New Roman"/>
          <w:color w:val="000000"/>
          <w:kern w:val="0"/>
          <w:szCs w:val="32"/>
        </w:rPr>
      </w:pPr>
      <w:r>
        <w:rPr>
          <w:rFonts w:ascii="Times New Roman" w:cs="Times New Roman" w:eastAsia="黑体" w:hAnsi="Times New Roman"/>
          <w:color w:val="000000"/>
          <w:kern w:val="0"/>
          <w:szCs w:val="32"/>
        </w:rPr>
        <w:t>二、活动主题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各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党委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总支）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要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结合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单位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实际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确定活动主题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，科学安排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和指导督促各基层党支部</w:t>
      </w:r>
      <w:r>
        <w:rPr>
          <w:rFonts w:ascii="Times New Roman" w:cs="Times New Roman" w:eastAsia="仿宋_GB2312" w:hAnsi="Times New Roman"/>
          <w:color w:val="000000"/>
          <w:kern w:val="0"/>
          <w:szCs w:val="32"/>
          <w:lang w:val="en-US"/>
        </w:rPr>
        <w:t>采取线上线下相结合的方式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开展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主题党日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活动，落实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“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五项基本任务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”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即，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学习教育、组织生活、民主议事、志愿服务、关心关爱等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黑体" w:hAnsi="Times New Roman"/>
          <w:color w:val="000000"/>
          <w:kern w:val="0"/>
          <w:szCs w:val="32"/>
        </w:rPr>
      </w:pPr>
      <w:r>
        <w:rPr>
          <w:rFonts w:ascii="Times New Roman" w:cs="Times New Roman" w:eastAsia="黑体" w:hAnsi="Times New Roman"/>
          <w:color w:val="000000"/>
          <w:kern w:val="0"/>
          <w:szCs w:val="32"/>
        </w:rPr>
        <w:t>三、</w:t>
      </w:r>
      <w:r>
        <w:rPr>
          <w:rFonts w:ascii="Times New Roman" w:cs="Times New Roman" w:eastAsia="黑体" w:hAnsi="Times New Roman"/>
          <w:color w:val="000000"/>
          <w:kern w:val="0"/>
          <w:szCs w:val="32"/>
        </w:rPr>
        <w:t>活动内容</w:t>
      </w:r>
    </w:p>
    <w:p>
      <w:pPr>
        <w:pStyle w:val="style94"/>
        <w:shd w:val="clear" w:color="auto" w:fill="ffffff"/>
        <w:spacing w:before="0" w:beforeAutospacing="false" w:after="0" w:afterAutospacing="false" w:lineRule="exact" w:line="520"/>
        <w:ind w:firstLine="630"/>
        <w:jc w:val="both"/>
        <w:textAlignment w:val="baseline"/>
        <w:rPr>
          <w:rFonts w:ascii="Times New Roman" w:cs="Times New Roman" w:eastAsia="仿宋_GB2312" w:hAnsi="Times New Roman"/>
          <w:color w:val="000000"/>
          <w:sz w:val="27"/>
          <w:szCs w:val="27"/>
        </w:rPr>
      </w:pP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1.</w:t>
      </w: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党费</w:t>
      </w: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收缴</w:t>
      </w: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。</w:t>
      </w:r>
      <w:r>
        <w:rPr>
          <w:rFonts w:ascii="Times New Roman" w:cs="Times New Roman" w:eastAsia="仿宋_GB2312" w:hAnsi="Times New Roman"/>
          <w:color w:val="000000"/>
          <w:sz w:val="32"/>
          <w:szCs w:val="32"/>
        </w:rPr>
        <w:t>每名党员要自觉、按时、足额</w:t>
      </w:r>
      <w:r>
        <w:rPr>
          <w:rFonts w:ascii="Times New Roman" w:cs="Times New Roman" w:eastAsia="仿宋_GB2312" w:hAnsi="Times New Roman"/>
          <w:color w:val="000000"/>
          <w:sz w:val="32"/>
          <w:szCs w:val="32"/>
        </w:rPr>
        <w:t>交</w:t>
      </w:r>
      <w:r>
        <w:rPr>
          <w:rFonts w:ascii="Times New Roman" w:cs="Times New Roman" w:eastAsia="仿宋_GB2312" w:hAnsi="Times New Roman"/>
          <w:color w:val="000000"/>
          <w:sz w:val="32"/>
          <w:szCs w:val="32"/>
        </w:rPr>
        <w:t>纳党</w:t>
      </w:r>
      <w:r>
        <w:rPr>
          <w:rFonts w:ascii="Times New Roman" w:cs="Times New Roman" w:eastAsia="仿宋_GB2312" w:hAnsi="Times New Roman"/>
          <w:color w:val="000000"/>
          <w:sz w:val="32"/>
          <w:szCs w:val="32"/>
          <w:shd w:val="clear" w:color="auto" w:fill="ffffff"/>
        </w:rPr>
        <w:t>费</w:t>
      </w:r>
      <w:r>
        <w:rPr>
          <w:rFonts w:ascii="Times New Roman" w:cs="Times New Roman" w:eastAsia="仿宋_GB2312" w:hAnsi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cs="Times New Roman" w:eastAsia="仿宋_GB2312" w:hAnsi="Times New Roman"/>
          <w:color w:val="000000"/>
          <w:sz w:val="32"/>
          <w:szCs w:val="32"/>
        </w:rPr>
        <w:t>党支部要定期公开党费收缴情况。</w:t>
      </w:r>
    </w:p>
    <w:p>
      <w:pPr>
        <w:pStyle w:val="style0"/>
        <w:spacing w:lineRule="exact" w:line="520"/>
        <w:ind w:firstLine="634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过好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“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政治生日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”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。</w:t>
      </w:r>
      <w:r>
        <w:rPr>
          <w:rFonts w:ascii="Times New Roman" w:cs="Times New Roman" w:eastAsia="仿宋_GB2312" w:hAnsi="Times New Roman"/>
          <w:color w:val="000000"/>
          <w:szCs w:val="32"/>
        </w:rPr>
        <w:t>创新方式方法，</w:t>
      </w:r>
      <w:r>
        <w:rPr>
          <w:rFonts w:ascii="Times New Roman" w:cs="Times New Roman" w:eastAsia="仿宋_GB2312" w:hAnsi="Times New Roman"/>
          <w:color w:val="000000"/>
          <w:szCs w:val="32"/>
        </w:rPr>
        <w:t>为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szCs w:val="32"/>
        </w:rPr>
        <w:t>月</w:t>
      </w:r>
      <w:r>
        <w:rPr>
          <w:rFonts w:ascii="Times New Roman" w:cs="Times New Roman" w:eastAsia="仿宋_GB2312" w:hAnsi="Times New Roman"/>
          <w:color w:val="000000"/>
          <w:szCs w:val="32"/>
        </w:rPr>
        <w:t>入党的党员过</w:t>
      </w:r>
      <w:r>
        <w:rPr>
          <w:rFonts w:ascii="Times New Roman" w:cs="Times New Roman" w:eastAsia="仿宋_GB2312" w:hAnsi="Times New Roman"/>
          <w:color w:val="000000"/>
          <w:szCs w:val="32"/>
        </w:rPr>
        <w:t>“</w:t>
      </w:r>
      <w:r>
        <w:rPr>
          <w:rFonts w:ascii="Times New Roman" w:cs="Times New Roman" w:eastAsia="仿宋_GB2312" w:hAnsi="Times New Roman"/>
          <w:color w:val="000000"/>
          <w:szCs w:val="32"/>
        </w:rPr>
        <w:t>政治生日</w:t>
      </w:r>
      <w:r>
        <w:rPr>
          <w:rFonts w:ascii="Times New Roman" w:cs="Times New Roman" w:eastAsia="仿宋_GB2312" w:hAnsi="Times New Roman"/>
          <w:color w:val="000000"/>
          <w:szCs w:val="32"/>
        </w:rPr>
        <w:t>”</w:t>
      </w:r>
      <w:r>
        <w:rPr>
          <w:rFonts w:ascii="Times New Roman" w:cs="Times New Roman" w:eastAsia="仿宋_GB2312" w:hAnsi="Times New Roman"/>
          <w:color w:val="000000"/>
          <w:szCs w:val="32"/>
        </w:rPr>
        <w:t>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520"/>
        <w:ind w:firstLine="630"/>
        <w:jc w:val="both"/>
        <w:textAlignment w:val="baseline"/>
        <w:rPr>
          <w:rFonts w:ascii="Times New Roman" w:cs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3.</w:t>
      </w:r>
      <w:r>
        <w:rPr>
          <w:rFonts w:ascii="Times New Roman" w:cs="Times New Roman" w:eastAsia="仿宋_GB2312" w:hAnsi="Times New Roman"/>
          <w:b/>
          <w:color w:val="000000"/>
          <w:sz w:val="32"/>
          <w:szCs w:val="32"/>
        </w:rPr>
        <w:t>党务公开。</w:t>
      </w:r>
      <w:r>
        <w:rPr>
          <w:rFonts w:ascii="Times New Roman" w:cs="Times New Roman" w:eastAsia="仿宋_GB2312" w:hAnsi="Times New Roman"/>
          <w:color w:val="000000"/>
          <w:kern w:val="2"/>
          <w:sz w:val="32"/>
          <w:szCs w:val="32"/>
        </w:rPr>
        <w:t>各党支部要结合实际在党员大会</w:t>
      </w:r>
      <w:r>
        <w:rPr>
          <w:rFonts w:ascii="Times New Roman" w:cs="Times New Roman" w:eastAsia="仿宋_GB2312" w:hAnsi="Times New Roman"/>
          <w:color w:val="000000"/>
          <w:kern w:val="2"/>
          <w:sz w:val="32"/>
          <w:szCs w:val="32"/>
        </w:rPr>
        <w:t>上</w:t>
      </w:r>
      <w:r>
        <w:rPr>
          <w:rFonts w:ascii="Times New Roman" w:cs="Times New Roman" w:eastAsia="仿宋_GB2312" w:hAnsi="Times New Roman"/>
          <w:color w:val="000000"/>
          <w:kern w:val="2"/>
          <w:sz w:val="32"/>
          <w:szCs w:val="32"/>
        </w:rPr>
        <w:t>定期公开党员和师生普遍关心的党务等内容，并接受询问。</w:t>
      </w:r>
    </w:p>
    <w:p>
      <w:pPr>
        <w:pStyle w:val="style0"/>
        <w:spacing w:lineRule="exact" w:line="520"/>
        <w:ind w:firstLine="634" w:firstLineChars="200"/>
        <w:rPr>
          <w:rFonts w:ascii="Times New Roman" w:cs="Times New Roman" w:eastAsia="仿宋_GB2312" w:hAnsi="Times New Roman"/>
          <w:b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4.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学习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实践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color w:val="00000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szCs w:val="32"/>
        </w:rPr>
        <w:t>组织党员原原本本、逐字逐句学习党的二十大报告和党章，学好用好《党的二十大报告学习辅导百问》《二十大党章修正案学习问答》《党的二十大文件汇编》等辅导用书。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 w:hint="eastAsia"/>
          <w:color w:val="000000"/>
          <w:szCs w:val="32"/>
        </w:rPr>
      </w:pPr>
      <w:r>
        <w:rPr>
          <w:rFonts w:ascii="Times New Roman" w:cs="Times New Roman" w:eastAsia="仿宋_GB2312" w:hAnsi="Times New Roman" w:hint="eastAsia"/>
          <w:color w:val="000000"/>
          <w:szCs w:val="32"/>
        </w:rPr>
        <w:t>（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2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szCs w:val="32"/>
        </w:rPr>
        <w:t>学习贯彻习近平总书记在江泽民同志追悼大会上致的悼词。学习贯彻习近平总书记关于安全生产重要论述、重要指示批示精神，全面落实中央和省市委关于安全生产工作决策部署，切实履行安全生产职责。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 w:hint="eastAsia"/>
          <w:color w:val="00000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szCs w:val="32"/>
        </w:rPr>
        <w:t>3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szCs w:val="32"/>
        </w:rPr>
        <w:t>深入贯彻落</w:t>
      </w:r>
      <w:r>
        <w:rPr>
          <w:rFonts w:ascii="Times New Roman" w:cs="Times New Roman" w:eastAsia="仿宋_GB2312" w:hAnsi="Times New Roman"/>
          <w:color w:val="000000"/>
          <w:szCs w:val="32"/>
        </w:rPr>
        <w:t>实习近</w:t>
      </w:r>
      <w:r>
        <w:rPr>
          <w:rFonts w:ascii="Times New Roman" w:cs="Times New Roman" w:eastAsia="仿宋_GB2312" w:hAnsi="Times New Roman"/>
          <w:color w:val="000000"/>
          <w:szCs w:val="32"/>
        </w:rPr>
        <w:t>平总书记关于疫情防控工作的重要讲话和重要指示精神，按照省委、市委部署要求，全面把握、精准落实优化防控措施，更好统筹疫情防控和经济社会发展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 w:hint="eastAsia"/>
          <w:color w:val="00000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szCs w:val="32"/>
        </w:rPr>
        <w:t>4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）做好秋学期党员发展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及预备党员转正工作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 w:hint="eastAsia"/>
          <w:color w:val="00000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szCs w:val="32"/>
        </w:rPr>
        <w:t>5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szCs w:val="32"/>
        </w:rPr>
        <w:t>组织党员巩固</w:t>
      </w:r>
      <w:r>
        <w:rPr>
          <w:rFonts w:ascii="Times New Roman" w:cs="Times New Roman" w:eastAsia="仿宋_GB2312" w:hAnsi="Times New Roman"/>
          <w:color w:val="000000"/>
          <w:szCs w:val="32"/>
        </w:rPr>
        <w:t>提升创文成果</w:t>
      </w:r>
      <w:r>
        <w:rPr>
          <w:rFonts w:ascii="Times New Roman" w:cs="Times New Roman" w:eastAsia="仿宋_GB2312" w:hAnsi="Times New Roman"/>
          <w:color w:val="000000"/>
          <w:szCs w:val="32"/>
        </w:rPr>
        <w:t>，常态长效开展</w:t>
      </w:r>
      <w:r>
        <w:rPr>
          <w:rFonts w:ascii="Times New Roman" w:cs="Times New Roman" w:eastAsia="仿宋_GB2312" w:hAnsi="Times New Roman"/>
          <w:color w:val="000000"/>
          <w:szCs w:val="32"/>
        </w:rPr>
        <w:t>创文知识</w:t>
      </w:r>
      <w:r>
        <w:rPr>
          <w:rFonts w:ascii="Times New Roman" w:cs="Times New Roman" w:eastAsia="仿宋_GB2312" w:hAnsi="Times New Roman"/>
          <w:color w:val="000000"/>
          <w:szCs w:val="32"/>
        </w:rPr>
        <w:t>宣传、爱国卫生运动，争创全国文明典范城市</w:t>
      </w:r>
      <w:r>
        <w:rPr>
          <w:rFonts w:ascii="Times New Roman" w:cs="Times New Roman" w:eastAsia="仿宋_GB2312" w:hAnsi="Times New Roman" w:hint="eastAsia"/>
          <w:color w:val="00000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color w:val="00000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szCs w:val="32"/>
        </w:rPr>
        <w:t>6</w:t>
      </w:r>
      <w:r>
        <w:rPr>
          <w:rFonts w:ascii="Times New Roman" w:cs="Times New Roman" w:eastAsia="仿宋_GB2312" w:hAnsi="Times New Roman"/>
          <w:color w:val="000000"/>
          <w:szCs w:val="32"/>
        </w:rPr>
        <w:t>）</w:t>
      </w:r>
      <w:r>
        <w:rPr>
          <w:rFonts w:ascii="Times New Roman" w:cs="Times New Roman" w:eastAsia="仿宋_GB2312" w:hAnsi="Times New Roman"/>
          <w:color w:val="000000"/>
          <w:szCs w:val="32"/>
        </w:rPr>
        <w:t>组织收看</w:t>
      </w:r>
      <w:r>
        <w:rPr>
          <w:rFonts w:ascii="Times New Roman" w:cs="Times New Roman" w:eastAsia="仿宋_GB2312" w:hAnsi="Times New Roman"/>
          <w:color w:val="000000"/>
          <w:szCs w:val="32"/>
        </w:rPr>
        <w:t>“</w:t>
      </w:r>
      <w:r>
        <w:rPr>
          <w:rFonts w:ascii="Times New Roman" w:cs="Times New Roman" w:eastAsia="仿宋_GB2312" w:hAnsi="Times New Roman"/>
          <w:color w:val="000000"/>
          <w:szCs w:val="32"/>
        </w:rPr>
        <w:t>二十大报告解读</w:t>
      </w:r>
      <w:r>
        <w:rPr>
          <w:rFonts w:ascii="Times New Roman" w:cs="Times New Roman" w:eastAsia="仿宋_GB2312" w:hAnsi="Times New Roman"/>
          <w:color w:val="000000"/>
          <w:szCs w:val="32"/>
        </w:rPr>
        <w:t>”</w:t>
      </w:r>
      <w:r>
        <w:rPr>
          <w:rFonts w:ascii="Times New Roman" w:cs="Times New Roman" w:eastAsia="仿宋_GB2312" w:hAnsi="Times New Roman"/>
          <w:color w:val="000000"/>
          <w:szCs w:val="32"/>
        </w:rPr>
        <w:t>系列节目《奋斗新的伟业》（</w:t>
      </w:r>
      <w:r>
        <w:rPr>
          <w:rFonts w:ascii="Times New Roman" w:cs="Times New Roman" w:eastAsia="仿宋_GB2312" w:hAnsi="Times New Roman"/>
          <w:color w:val="000000"/>
          <w:szCs w:val="32"/>
        </w:rPr>
        <w:t>4</w:t>
      </w:r>
      <w:r>
        <w:rPr>
          <w:rFonts w:ascii="Times New Roman" w:cs="Times New Roman" w:eastAsia="仿宋_GB2312" w:hAnsi="Times New Roman"/>
          <w:color w:val="000000"/>
          <w:szCs w:val="32"/>
        </w:rPr>
        <w:t>-</w:t>
      </w:r>
      <w:r>
        <w:rPr>
          <w:rFonts w:ascii="Times New Roman" w:cs="Times New Roman" w:eastAsia="仿宋_GB2312" w:hAnsi="Times New Roman"/>
          <w:color w:val="000000"/>
          <w:szCs w:val="32"/>
        </w:rPr>
        <w:t>6</w:t>
      </w:r>
      <w:r>
        <w:rPr>
          <w:rFonts w:ascii="Times New Roman" w:cs="Times New Roman" w:eastAsia="仿宋_GB2312" w:hAnsi="Times New Roman"/>
          <w:color w:val="000000"/>
          <w:szCs w:val="32"/>
        </w:rPr>
        <w:t>集）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color w:val="000000"/>
          <w:szCs w:val="32"/>
        </w:rPr>
        <w:t>点播方式：</w:t>
      </w:r>
      <w:r>
        <w:rPr>
          <w:rFonts w:ascii="Times New Roman" w:cs="Times New Roman" w:eastAsia="仿宋_GB2312" w:hAnsi="Times New Roman"/>
          <w:color w:val="000000"/>
          <w:szCs w:val="32"/>
        </w:rPr>
        <w:t>红色盐</w:t>
      </w:r>
      <w:r>
        <w:rPr>
          <w:rFonts w:ascii="Times New Roman" w:cs="Times New Roman" w:eastAsia="仿宋_GB2312" w:hAnsi="Times New Roman"/>
          <w:color w:val="000000"/>
          <w:szCs w:val="32"/>
        </w:rPr>
        <w:t>阜</w:t>
      </w:r>
      <w:r>
        <w:rPr>
          <w:rFonts w:ascii="Times New Roman" w:cs="Times New Roman" w:eastAsia="仿宋_GB2312" w:hAnsi="Times New Roman"/>
          <w:color w:val="000000"/>
          <w:szCs w:val="32"/>
        </w:rPr>
        <w:t>—</w:t>
      </w:r>
      <w:r>
        <w:rPr>
          <w:rFonts w:ascii="Times New Roman" w:cs="Times New Roman" w:eastAsia="仿宋_GB2312" w:hAnsi="Times New Roman"/>
          <w:color w:val="000000"/>
          <w:szCs w:val="32"/>
        </w:rPr>
        <w:t>先锋视听</w:t>
      </w:r>
      <w:r>
        <w:rPr>
          <w:rFonts w:ascii="Times New Roman" w:cs="Times New Roman" w:eastAsia="仿宋_GB2312" w:hAnsi="Times New Roman"/>
          <w:color w:val="000000"/>
          <w:szCs w:val="32"/>
        </w:rPr>
        <w:t>—</w:t>
      </w:r>
      <w:r>
        <w:rPr>
          <w:rFonts w:ascii="Times New Roman" w:cs="Times New Roman" w:eastAsia="仿宋_GB2312" w:hAnsi="Times New Roman"/>
          <w:color w:val="000000"/>
          <w:szCs w:val="32"/>
        </w:rPr>
        <w:t>固</w:t>
      </w:r>
      <w:r>
        <w:rPr>
          <w:rFonts w:ascii="Times New Roman" w:cs="Times New Roman" w:eastAsia="仿宋_GB2312" w:hAnsi="Times New Roman"/>
          <w:color w:val="000000"/>
          <w:szCs w:val="32"/>
        </w:rPr>
        <w:t>定学习日</w:t>
      </w:r>
      <w:r>
        <w:rPr>
          <w:rFonts w:ascii="Times New Roman" w:cs="Times New Roman" w:eastAsia="仿宋_GB2312" w:hAnsi="Times New Roman"/>
          <w:color w:val="000000"/>
          <w:szCs w:val="32"/>
        </w:rPr>
        <w:t>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黑体" w:hAnsi="Times New Roman"/>
          <w:color w:val="000000"/>
          <w:kern w:val="0"/>
          <w:szCs w:val="32"/>
        </w:rPr>
      </w:pPr>
      <w:r>
        <w:rPr>
          <w:rFonts w:ascii="Times New Roman" w:cs="Times New Roman" w:eastAsia="黑体" w:hAnsi="Times New Roman"/>
          <w:color w:val="000000"/>
          <w:kern w:val="0"/>
          <w:szCs w:val="32"/>
        </w:rPr>
        <w:t>四、活动要求</w:t>
      </w:r>
    </w:p>
    <w:p>
      <w:pPr>
        <w:pStyle w:val="style0"/>
        <w:spacing w:lineRule="exact" w:line="520"/>
        <w:ind w:firstLine="632" w:firstLineChars="200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color w:val="000000"/>
          <w:szCs w:val="32"/>
        </w:rPr>
        <w:t>参加活动的党员要统一佩戴党徽，突出仪式感、使命感、获得感，进一步增强</w:t>
      </w:r>
      <w:r>
        <w:rPr>
          <w:rFonts w:ascii="Times New Roman" w:cs="Times New Roman" w:eastAsia="仿宋_GB2312" w:hAnsi="Times New Roman"/>
          <w:color w:val="000000"/>
          <w:szCs w:val="32"/>
        </w:rPr>
        <w:t>主题党日活动的</w:t>
      </w:r>
      <w:r>
        <w:rPr>
          <w:rFonts w:ascii="Times New Roman" w:cs="Times New Roman" w:eastAsia="仿宋_GB2312" w:hAnsi="Times New Roman"/>
          <w:color w:val="000000"/>
          <w:szCs w:val="32"/>
        </w:rPr>
        <w:t>针对性、实效性、规范性。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1.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加强指导。</w:t>
      </w:r>
      <w:r>
        <w:rPr>
          <w:rFonts w:ascii="Times New Roman" w:cs="Times New Roman" w:eastAsia="仿宋_GB2312" w:hAnsi="Times New Roman"/>
          <w:color w:val="000000"/>
          <w:szCs w:val="32"/>
        </w:rPr>
        <w:t>各党</w:t>
      </w:r>
      <w:r>
        <w:rPr>
          <w:rFonts w:ascii="Times New Roman" w:cs="Times New Roman" w:eastAsia="仿宋_GB2312" w:hAnsi="Times New Roman"/>
          <w:color w:val="000000"/>
          <w:szCs w:val="32"/>
        </w:rPr>
        <w:t>委（党总支）</w:t>
      </w:r>
      <w:r>
        <w:rPr>
          <w:rFonts w:ascii="Times New Roman" w:cs="Times New Roman" w:eastAsia="仿宋_GB2312" w:hAnsi="Times New Roman"/>
          <w:color w:val="000000"/>
          <w:szCs w:val="32"/>
        </w:rPr>
        <w:t>要加强对</w:t>
      </w:r>
      <w:r>
        <w:rPr>
          <w:rFonts w:ascii="Times New Roman" w:cs="Times New Roman" w:eastAsia="仿宋_GB2312" w:hAnsi="Times New Roman"/>
          <w:color w:val="000000"/>
          <w:szCs w:val="32"/>
        </w:rPr>
        <w:t>所</w:t>
      </w:r>
      <w:r>
        <w:rPr>
          <w:rFonts w:ascii="Times New Roman" w:cs="Times New Roman" w:eastAsia="仿宋_GB2312" w:hAnsi="Times New Roman"/>
          <w:color w:val="000000"/>
          <w:szCs w:val="32"/>
        </w:rPr>
        <w:t>辖</w:t>
      </w:r>
      <w:r>
        <w:rPr>
          <w:rFonts w:ascii="Times New Roman" w:cs="Times New Roman" w:eastAsia="仿宋_GB2312" w:hAnsi="Times New Roman"/>
          <w:color w:val="000000"/>
          <w:szCs w:val="32"/>
        </w:rPr>
        <w:t>党支部主题党日活动的日常管理和督查指导。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2.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落实责任。</w:t>
      </w:r>
      <w:r>
        <w:rPr>
          <w:rFonts w:ascii="Times New Roman" w:cs="Times New Roman" w:eastAsia="仿宋_GB2312" w:hAnsi="Times New Roman"/>
          <w:color w:val="000000"/>
          <w:szCs w:val="32"/>
        </w:rPr>
        <w:t>各</w:t>
      </w:r>
      <w:r>
        <w:rPr>
          <w:rFonts w:ascii="Times New Roman" w:cs="Times New Roman" w:eastAsia="仿宋_GB2312" w:hAnsi="Times New Roman"/>
          <w:color w:val="000000"/>
          <w:szCs w:val="32"/>
        </w:rPr>
        <w:t>基层</w:t>
      </w:r>
      <w:r>
        <w:rPr>
          <w:rFonts w:ascii="Times New Roman" w:cs="Times New Roman" w:eastAsia="仿宋_GB2312" w:hAnsi="Times New Roman"/>
          <w:color w:val="000000"/>
          <w:szCs w:val="32"/>
        </w:rPr>
        <w:t>党支部对</w:t>
      </w:r>
      <w:r>
        <w:rPr>
          <w:rFonts w:ascii="Times New Roman" w:cs="Times New Roman" w:eastAsia="仿宋_GB2312" w:hAnsi="Times New Roman"/>
          <w:color w:val="000000"/>
          <w:szCs w:val="32"/>
        </w:rPr>
        <w:t>“</w:t>
      </w:r>
      <w:r>
        <w:rPr>
          <w:rFonts w:ascii="Times New Roman" w:cs="Times New Roman" w:eastAsia="仿宋_GB2312" w:hAnsi="Times New Roman"/>
          <w:color w:val="000000"/>
          <w:szCs w:val="32"/>
        </w:rPr>
        <w:t>主题党日</w:t>
      </w:r>
      <w:r>
        <w:rPr>
          <w:rFonts w:ascii="Times New Roman" w:cs="Times New Roman" w:eastAsia="仿宋_GB2312" w:hAnsi="Times New Roman"/>
          <w:color w:val="000000"/>
          <w:szCs w:val="32"/>
        </w:rPr>
        <w:t>”</w:t>
      </w:r>
      <w:r>
        <w:rPr>
          <w:rFonts w:ascii="Times New Roman" w:cs="Times New Roman" w:eastAsia="仿宋_GB2312" w:hAnsi="Times New Roman"/>
          <w:color w:val="000000"/>
          <w:szCs w:val="32"/>
        </w:rPr>
        <w:t>活动</w:t>
      </w:r>
      <w:r>
        <w:rPr>
          <w:rFonts w:ascii="Times New Roman" w:cs="Times New Roman" w:eastAsia="仿宋_GB2312" w:hAnsi="Times New Roman"/>
          <w:color w:val="000000"/>
          <w:szCs w:val="32"/>
        </w:rPr>
        <w:t>负主体</w:t>
      </w:r>
      <w:r>
        <w:rPr>
          <w:rFonts w:ascii="Times New Roman" w:cs="Times New Roman" w:eastAsia="仿宋_GB2312" w:hAnsi="Times New Roman"/>
          <w:color w:val="000000"/>
          <w:szCs w:val="32"/>
        </w:rPr>
        <w:t>责任</w:t>
      </w:r>
      <w:r>
        <w:rPr>
          <w:rFonts w:ascii="Times New Roman" w:cs="Times New Roman" w:eastAsia="仿宋_GB2312" w:hAnsi="Times New Roman"/>
          <w:color w:val="000000"/>
          <w:szCs w:val="32"/>
        </w:rPr>
        <w:t>，党支部书记为第一责任人</w:t>
      </w:r>
      <w:r>
        <w:rPr>
          <w:rFonts w:ascii="Times New Roman" w:cs="Times New Roman" w:eastAsia="仿宋_GB2312" w:hAnsi="Times New Roman"/>
          <w:color w:val="000000"/>
          <w:szCs w:val="32"/>
        </w:rPr>
        <w:t>，支委会要提前研究确定主题党日的具体内容</w:t>
      </w:r>
      <w:r>
        <w:rPr>
          <w:rFonts w:ascii="Times New Roman" w:cs="Times New Roman" w:eastAsia="仿宋_GB2312" w:hAnsi="Times New Roman"/>
          <w:color w:val="000000"/>
          <w:szCs w:val="32"/>
        </w:rPr>
        <w:t>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3.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及时纪实。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各基层党支部要用好《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“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三会一课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”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记录本》，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对主题党日活动进行写实性记录，留存有关文字、照片和视频档案资料，做到书面记录档案、影像资料档案与活动计划相互印证，以备上级党组织随时调阅核查。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4.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及时</w:t>
      </w:r>
      <w:r>
        <w:rPr>
          <w:rFonts w:ascii="Times New Roman" w:cs="Times New Roman" w:eastAsia="仿宋_GB2312" w:hAnsi="Times New Roman"/>
          <w:b/>
          <w:color w:val="000000"/>
          <w:kern w:val="0"/>
          <w:szCs w:val="32"/>
        </w:rPr>
        <w:t>报送。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10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日前，以各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党委（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总支）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为单位，将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所</w:t>
      </w:r>
      <w:r>
        <w:rPr>
          <w:rFonts w:ascii="Times New Roman" w:cs="Times New Roman" w:eastAsia="仿宋_GB2312" w:hAnsi="Times New Roman"/>
          <w:color w:val="000000"/>
          <w:szCs w:val="32"/>
        </w:rPr>
        <w:t>辖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党支部开展的主题党日活动情况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电子版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含主题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党日活动计划、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活动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图文影像资料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、新闻宣传报道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等）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集中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报送组织部备案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。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联系人：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杨雯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，联系电话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: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19895623518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，邮箱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: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623234567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@qq.com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ff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各支部可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结合实际，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组织党员通过线上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、线下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途径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灵活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开展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主题党日活动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。</w:t>
      </w: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kern w:val="0"/>
          <w:szCs w:val="32"/>
        </w:rPr>
      </w:pPr>
    </w:p>
    <w:p>
      <w:pPr>
        <w:pStyle w:val="style0"/>
        <w:widowControl/>
        <w:shd w:val="clear" w:color="auto" w:fill="ffffff"/>
        <w:spacing w:lineRule="exact" w:line="520"/>
        <w:ind w:firstLine="645"/>
        <w:rPr>
          <w:rFonts w:ascii="Times New Roman" w:cs="Times New Roman" w:eastAsia="仿宋_GB2312" w:hAnsi="Times New Roman"/>
          <w:color w:val="000000"/>
          <w:kern w:val="0"/>
          <w:szCs w:val="32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exact" w:line="520"/>
        <w:ind w:firstLine="630"/>
        <w:jc w:val="right"/>
        <w:textAlignment w:val="baseline"/>
        <w:rPr>
          <w:rFonts w:ascii="Times New Roman" w:cs="Times New Roman" w:eastAsia="仿宋_GB2312" w:hAnsi="Times New Roman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/>
          <w:color w:val="000000"/>
          <w:sz w:val="32"/>
          <w:szCs w:val="32"/>
        </w:rPr>
        <w:t>中共盐城师范学院委员会组织部</w:t>
      </w:r>
    </w:p>
    <w:p>
      <w:pPr>
        <w:pStyle w:val="style0"/>
        <w:widowControl/>
        <w:shd w:val="clear" w:color="auto" w:fill="ffffff"/>
        <w:spacing w:lineRule="exact" w:line="520"/>
        <w:ind w:right="948" w:firstLine="645"/>
        <w:jc w:val="right"/>
        <w:rPr>
          <w:rFonts w:ascii="Times New Roman" w:cs="Times New Roman" w:eastAsia="仿宋_GB2312" w:hAnsi="Times New Roman"/>
          <w:color w:val="000000"/>
          <w:kern w:val="0"/>
          <w:szCs w:val="32"/>
        </w:rPr>
      </w:pP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202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年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2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月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1</w:t>
      </w:r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9</w:t>
      </w:r>
      <w:bookmarkStart w:id="0" w:name="_GoBack"/>
      <w:bookmarkEnd w:id="0"/>
      <w:r>
        <w:rPr>
          <w:rFonts w:ascii="Times New Roman" w:cs="Times New Roman" w:eastAsia="仿宋_GB2312" w:hAnsi="Times New Roman"/>
          <w:color w:val="000000"/>
          <w:kern w:val="0"/>
          <w:szCs w:val="32"/>
        </w:rPr>
        <w:t>日</w:t>
      </w:r>
    </w:p>
    <w:sectPr>
      <w:headerReference w:type="even" r:id="rId2"/>
      <w:headerReference w:type="default" r:id="rId3"/>
      <w:footerReference w:type="even" r:id="rId4"/>
      <w:footerReference w:type="default" r:id="rId5"/>
      <w:pgSz w:w="11906" w:h="16838" w:orient="portrait" w:code="9"/>
      <w:pgMar w:top="1701" w:right="1474" w:bottom="1701" w:left="1588" w:header="851" w:footer="992" w:gutter="0"/>
      <w:pgNumType w:fmt="decimalFullWidth"/>
      <w:cols w:space="425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小标宋简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cs="Times New Roman" w:hAnsi="Times New Roman"/>
        <w:noProof/>
        <w:sz w:val="24"/>
        <w:szCs w:val="24"/>
        <w:lang w:val="zh-CN"/>
      </w:rPr>
    </w:pPr>
    <w:r>
      <w:rPr>
        <w:rFonts w:ascii="Times New Roman" w:cs="Times New Roman" w:hAnsi="Times New Roman"/>
        <w:noProof/>
        <w:sz w:val="24"/>
        <w:szCs w:val="24"/>
        <w:lang w:val="zh-CN"/>
      </w:rPr>
      <w:t>2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 w:hint="eastAsia"/>
        <w:noProof/>
        <w:sz w:val="24"/>
        <w:szCs w:val="24"/>
        <w:lang w:val="zh-CN"/>
      </w:rPr>
      <w:t>３</w:t>
    </w:r>
    <w:r>
      <w:rPr>
        <w:rFonts w:ascii="仿宋_GB2312" w:eastAsia="仿宋_GB2312" w:hint="eastAsia"/>
        <w:sz w:val="24"/>
        <w:szCs w:val="24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37CE2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evenAndOddHeaders/>
  <w:drawingGridHorizontalSpacing w:val="158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eastAsia="宋体"/>
      <w:sz w:val="32"/>
    </w:rPr>
  </w:style>
  <w:style w:type="paragraph" w:styleId="style1">
    <w:name w:val="heading 1"/>
    <w:basedOn w:val="style0"/>
    <w:next w:val="style1"/>
    <w:link w:val="style4100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cs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rFonts w:eastAsia="宋体"/>
      <w:sz w:val="18"/>
      <w:szCs w:val="18"/>
    </w:rPr>
  </w:style>
  <w:style w:type="character" w:customStyle="1" w:styleId="style4100">
    <w:name w:val="标题 1 字符"/>
    <w:basedOn w:val="style65"/>
    <w:next w:val="style4100"/>
    <w:link w:val="style1"/>
    <w:uiPriority w:val="9"/>
    <w:rPr>
      <w:rFonts w:ascii="宋体" w:cs="宋体" w:eastAsia="宋体" w:hAnsi="宋体"/>
      <w:b/>
      <w:bCs/>
      <w:kern w:val="36"/>
      <w:sz w:val="48"/>
      <w:szCs w:val="4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76">
    <w:name w:val="Date"/>
    <w:basedOn w:val="style0"/>
    <w:next w:val="style0"/>
    <w:link w:val="style4101"/>
    <w:uiPriority w:val="99"/>
    <w:pPr>
      <w:ind w:left="100" w:leftChars="2500"/>
    </w:pPr>
    <w:rPr/>
  </w:style>
  <w:style w:type="character" w:customStyle="1" w:styleId="style4101">
    <w:name w:val="日期 字符"/>
    <w:basedOn w:val="style65"/>
    <w:next w:val="style4101"/>
    <w:link w:val="style76"/>
    <w:uiPriority w:val="99"/>
    <w:rPr>
      <w:rFonts w:eastAsia="宋体"/>
      <w:sz w:val="32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102">
    <w:name w:val="w-tabbox-tab"/>
    <w:basedOn w:val="style0"/>
    <w:next w:val="style4102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customStyle="1" w:styleId="style4103">
    <w:name w:val="未处理的提及1"/>
    <w:basedOn w:val="style65"/>
    <w:next w:val="style4103"/>
    <w:uiPriority w:val="99"/>
    <w:rPr>
      <w:color w:val="605e5c"/>
      <w:shd w:val="clear" w:color="auto" w:fill="e1dfdd"/>
    </w:rPr>
  </w:style>
  <w:style w:type="character" w:customStyle="1" w:styleId="style4104">
    <w:name w:val="未处理的提及2"/>
    <w:basedOn w:val="style65"/>
    <w:next w:val="style4104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BAD3-7FCD-4540-AFED-70ADFE46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1144</Words>
  <Pages>3</Pages>
  <Characters>1206</Characters>
  <Application>WPS Office</Application>
  <DocSecurity>0</DocSecurity>
  <Paragraphs>42</Paragraphs>
  <ScaleCrop>false</ScaleCrop>
  <LinksUpToDate>false</LinksUpToDate>
  <CharactersWithSpaces>1206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2022-11-11T06:52:00Z</dcterms:created>
  <dc:creator>Windows 用户</dc:creator>
  <lastModifiedBy>ELS-AN00</lastModifiedBy>
  <lastPrinted>2021-09-15T08:10:00Z</lastPrinted>
  <dcterms:modified xsi:type="dcterms:W3CDTF">2022-12-19T10:05:56Z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4f90a3a833414e2285c761b95c12979d</vt:lpwstr>
  </property>
</Properties>
</file>